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67AA" w14:textId="6BB4C4AC" w:rsidR="00CF5254" w:rsidRDefault="004C4AFA" w:rsidP="004C4AFA">
      <w:pPr>
        <w:jc w:val="center"/>
      </w:pPr>
      <w:r>
        <w:rPr>
          <w:noProof/>
        </w:rPr>
        <w:drawing>
          <wp:inline distT="0" distB="0" distL="0" distR="0" wp14:anchorId="10E9E03D" wp14:editId="403E9BE9">
            <wp:extent cx="1664844" cy="1440000"/>
            <wp:effectExtent l="0" t="0" r="0" b="8255"/>
            <wp:docPr id="86391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16288" name="Picture 8639162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4844" cy="1440000"/>
                    </a:xfrm>
                    <a:prstGeom prst="rect">
                      <a:avLst/>
                    </a:prstGeom>
                  </pic:spPr>
                </pic:pic>
              </a:graphicData>
            </a:graphic>
          </wp:inline>
        </w:drawing>
      </w:r>
    </w:p>
    <w:p w14:paraId="4E8FB3C8" w14:textId="77777777" w:rsidR="004C4AFA" w:rsidRDefault="004C4AFA" w:rsidP="004C4AFA">
      <w:pPr>
        <w:jc w:val="cente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84"/>
        <w:gridCol w:w="567"/>
      </w:tblGrid>
      <w:tr w:rsidR="004C4AFA" w:rsidRPr="004C4AFA" w14:paraId="5EC81FA9" w14:textId="77777777" w:rsidTr="00A45FC1">
        <w:tc>
          <w:tcPr>
            <w:tcW w:w="8931" w:type="dxa"/>
            <w:gridSpan w:val="3"/>
          </w:tcPr>
          <w:p w14:paraId="1DE7C047" w14:textId="4EA4499F" w:rsidR="004C4AFA" w:rsidRPr="004C4AFA" w:rsidRDefault="004C4AFA" w:rsidP="004C4AFA">
            <w:pPr>
              <w:jc w:val="center"/>
              <w:rPr>
                <w:rFonts w:ascii="Arial" w:hAnsi="Arial" w:cs="Arial"/>
                <w:b/>
                <w:bCs/>
                <w:sz w:val="32"/>
                <w:szCs w:val="32"/>
              </w:rPr>
            </w:pPr>
            <w:r w:rsidRPr="004C4AFA">
              <w:rPr>
                <w:rFonts w:ascii="Arial" w:hAnsi="Arial" w:cs="Arial"/>
                <w:b/>
                <w:bCs/>
                <w:sz w:val="32"/>
                <w:szCs w:val="32"/>
              </w:rPr>
              <w:t>Job specification</w:t>
            </w:r>
          </w:p>
        </w:tc>
      </w:tr>
      <w:tr w:rsidR="004C4AFA" w:rsidRPr="004C4AFA" w14:paraId="6E6616CD" w14:textId="77777777" w:rsidTr="00A45FC1">
        <w:tc>
          <w:tcPr>
            <w:tcW w:w="8931" w:type="dxa"/>
            <w:gridSpan w:val="3"/>
          </w:tcPr>
          <w:p w14:paraId="3E737541" w14:textId="0DCB43FB" w:rsidR="004C4AFA" w:rsidRPr="004C4AFA" w:rsidRDefault="00795BF0" w:rsidP="004C4AFA">
            <w:pPr>
              <w:jc w:val="center"/>
              <w:rPr>
                <w:rFonts w:ascii="Arial" w:hAnsi="Arial" w:cs="Arial"/>
                <w:b/>
                <w:bCs/>
                <w:sz w:val="32"/>
                <w:szCs w:val="32"/>
              </w:rPr>
            </w:pPr>
            <w:r>
              <w:rPr>
                <w:rFonts w:ascii="Arial" w:hAnsi="Arial" w:cs="Arial"/>
                <w:b/>
                <w:bCs/>
                <w:sz w:val="32"/>
                <w:szCs w:val="32"/>
              </w:rPr>
              <w:t>Head of Tenant Experience</w:t>
            </w:r>
          </w:p>
        </w:tc>
      </w:tr>
      <w:tr w:rsidR="004C4AFA" w:rsidRPr="004C4AFA" w14:paraId="6C8A4A5B" w14:textId="77777777" w:rsidTr="00A45FC1">
        <w:tc>
          <w:tcPr>
            <w:tcW w:w="8364" w:type="dxa"/>
            <w:gridSpan w:val="2"/>
          </w:tcPr>
          <w:p w14:paraId="5C99AD43" w14:textId="77777777" w:rsidR="004C4AFA" w:rsidRPr="004C4AFA" w:rsidRDefault="004C4AFA" w:rsidP="004C4AFA">
            <w:pPr>
              <w:jc w:val="center"/>
              <w:rPr>
                <w:rFonts w:ascii="Arial" w:hAnsi="Arial" w:cs="Arial"/>
              </w:rPr>
            </w:pPr>
          </w:p>
        </w:tc>
        <w:tc>
          <w:tcPr>
            <w:tcW w:w="567" w:type="dxa"/>
          </w:tcPr>
          <w:p w14:paraId="5D85AEA8" w14:textId="1E3E719F" w:rsidR="004C4AFA" w:rsidRPr="004C4AFA" w:rsidRDefault="004C4AFA" w:rsidP="004C4AFA">
            <w:pPr>
              <w:jc w:val="center"/>
              <w:rPr>
                <w:rFonts w:ascii="Arial" w:hAnsi="Arial" w:cs="Arial"/>
              </w:rPr>
            </w:pPr>
          </w:p>
        </w:tc>
      </w:tr>
      <w:tr w:rsidR="004C4AFA" w:rsidRPr="004C4AFA" w14:paraId="1448484E" w14:textId="77777777" w:rsidTr="00A45FC1">
        <w:tc>
          <w:tcPr>
            <w:tcW w:w="8364" w:type="dxa"/>
            <w:gridSpan w:val="2"/>
          </w:tcPr>
          <w:p w14:paraId="1771D2E5" w14:textId="579FF023" w:rsidR="004C4AFA" w:rsidRDefault="004C4AFA" w:rsidP="004C4AFA">
            <w:pPr>
              <w:jc w:val="both"/>
              <w:rPr>
                <w:rFonts w:ascii="Arial" w:hAnsi="Arial" w:cs="Arial"/>
                <w:b/>
                <w:bCs/>
              </w:rPr>
            </w:pPr>
            <w:r w:rsidRPr="004C4AFA">
              <w:rPr>
                <w:rFonts w:ascii="Arial" w:hAnsi="Arial" w:cs="Arial"/>
                <w:b/>
                <w:bCs/>
              </w:rPr>
              <w:t>Job title</w:t>
            </w:r>
            <w:r w:rsidR="004C4471">
              <w:rPr>
                <w:rFonts w:ascii="Arial" w:hAnsi="Arial" w:cs="Arial"/>
                <w:b/>
                <w:bCs/>
              </w:rPr>
              <w:t xml:space="preserve"> – </w:t>
            </w:r>
            <w:r w:rsidR="00795BF0">
              <w:rPr>
                <w:rFonts w:ascii="Arial" w:hAnsi="Arial" w:cs="Arial"/>
                <w:b/>
                <w:bCs/>
              </w:rPr>
              <w:t>Head of Tenant Experience</w:t>
            </w:r>
          </w:p>
          <w:p w14:paraId="78D46C83" w14:textId="76A9FCBE" w:rsidR="00DB4665" w:rsidRPr="004C4AFA" w:rsidRDefault="00DB4665" w:rsidP="004C4AFA">
            <w:pPr>
              <w:jc w:val="both"/>
              <w:rPr>
                <w:rFonts w:ascii="Arial" w:hAnsi="Arial" w:cs="Arial"/>
                <w:b/>
                <w:bCs/>
              </w:rPr>
            </w:pPr>
          </w:p>
        </w:tc>
        <w:tc>
          <w:tcPr>
            <w:tcW w:w="567" w:type="dxa"/>
          </w:tcPr>
          <w:p w14:paraId="0853DCBF" w14:textId="77777777" w:rsidR="004C4AFA" w:rsidRPr="004C4AFA" w:rsidRDefault="004C4AFA" w:rsidP="004C4AFA">
            <w:pPr>
              <w:jc w:val="center"/>
              <w:rPr>
                <w:rFonts w:ascii="Arial" w:hAnsi="Arial" w:cs="Arial"/>
              </w:rPr>
            </w:pPr>
          </w:p>
        </w:tc>
      </w:tr>
      <w:tr w:rsidR="004C4AFA" w:rsidRPr="004C4AFA" w14:paraId="2BF361E4" w14:textId="77777777" w:rsidTr="00A45FC1">
        <w:tc>
          <w:tcPr>
            <w:tcW w:w="8364" w:type="dxa"/>
            <w:gridSpan w:val="2"/>
          </w:tcPr>
          <w:p w14:paraId="142F4850" w14:textId="120ED4BF" w:rsidR="004C4AFA" w:rsidRDefault="004C4AFA" w:rsidP="004C4AFA">
            <w:pPr>
              <w:rPr>
                <w:rFonts w:ascii="Arial" w:hAnsi="Arial" w:cs="Arial"/>
                <w:b/>
                <w:bCs/>
              </w:rPr>
            </w:pPr>
            <w:r w:rsidRPr="004C4AFA">
              <w:rPr>
                <w:rFonts w:ascii="Arial" w:hAnsi="Arial" w:cs="Arial"/>
                <w:b/>
                <w:bCs/>
              </w:rPr>
              <w:t>Responsible to</w:t>
            </w:r>
            <w:r w:rsidR="004C4471">
              <w:rPr>
                <w:rFonts w:ascii="Arial" w:hAnsi="Arial" w:cs="Arial"/>
                <w:b/>
                <w:bCs/>
              </w:rPr>
              <w:t xml:space="preserve"> </w:t>
            </w:r>
            <w:r w:rsidR="00795BF0">
              <w:rPr>
                <w:rFonts w:ascii="Arial" w:hAnsi="Arial" w:cs="Arial"/>
                <w:b/>
                <w:bCs/>
              </w:rPr>
              <w:t>Director of Housing and Tenant</w:t>
            </w:r>
            <w:r w:rsidR="00974041">
              <w:rPr>
                <w:rFonts w:ascii="Arial" w:hAnsi="Arial" w:cs="Arial"/>
                <w:b/>
                <w:bCs/>
              </w:rPr>
              <w:t xml:space="preserve"> E</w:t>
            </w:r>
            <w:r w:rsidR="00795BF0">
              <w:rPr>
                <w:rFonts w:ascii="Arial" w:hAnsi="Arial" w:cs="Arial"/>
                <w:b/>
                <w:bCs/>
              </w:rPr>
              <w:t xml:space="preserve">xperience </w:t>
            </w:r>
          </w:p>
          <w:p w14:paraId="18E81C22" w14:textId="77777777" w:rsidR="00DB4665" w:rsidRDefault="00DB4665" w:rsidP="004C4AFA">
            <w:pPr>
              <w:rPr>
                <w:rFonts w:ascii="Arial" w:hAnsi="Arial" w:cs="Arial"/>
                <w:b/>
                <w:bCs/>
              </w:rPr>
            </w:pPr>
          </w:p>
          <w:p w14:paraId="78699776" w14:textId="508E2667" w:rsidR="00DB4665" w:rsidRPr="004C4AFA" w:rsidRDefault="00DB4665" w:rsidP="00974041">
            <w:pPr>
              <w:ind w:left="-533" w:right="-1246" w:firstLine="533"/>
              <w:rPr>
                <w:rFonts w:ascii="Arial" w:hAnsi="Arial" w:cs="Arial"/>
                <w:b/>
                <w:bCs/>
              </w:rPr>
            </w:pPr>
            <w:r>
              <w:rPr>
                <w:rFonts w:ascii="Arial" w:hAnsi="Arial" w:cs="Arial"/>
                <w:b/>
                <w:bCs/>
              </w:rPr>
              <w:t>Responsible for</w:t>
            </w:r>
            <w:r w:rsidR="00974041">
              <w:rPr>
                <w:rFonts w:ascii="Arial" w:hAnsi="Arial" w:cs="Arial"/>
                <w:b/>
                <w:bCs/>
              </w:rPr>
              <w:t xml:space="preserve"> </w:t>
            </w:r>
            <w:r w:rsidR="00A45FC1" w:rsidRPr="00A45FC1">
              <w:rPr>
                <w:rFonts w:ascii="Arial" w:hAnsi="Arial" w:cs="Arial"/>
                <w:b/>
                <w:bCs/>
              </w:rPr>
              <w:t>Tenant Experience Manager, Tenant Involvement Officer</w:t>
            </w:r>
          </w:p>
        </w:tc>
        <w:tc>
          <w:tcPr>
            <w:tcW w:w="567" w:type="dxa"/>
          </w:tcPr>
          <w:p w14:paraId="05E48C9F" w14:textId="77777777" w:rsidR="004C4AFA" w:rsidRPr="004C4AFA" w:rsidRDefault="004C4AFA" w:rsidP="004C4AFA">
            <w:pPr>
              <w:jc w:val="center"/>
              <w:rPr>
                <w:rFonts w:ascii="Arial" w:hAnsi="Arial" w:cs="Arial"/>
              </w:rPr>
            </w:pPr>
          </w:p>
        </w:tc>
      </w:tr>
      <w:tr w:rsidR="004C4AFA" w:rsidRPr="004C4AFA" w14:paraId="12888FFF" w14:textId="77777777" w:rsidTr="00A45FC1">
        <w:tc>
          <w:tcPr>
            <w:tcW w:w="8364" w:type="dxa"/>
            <w:gridSpan w:val="2"/>
          </w:tcPr>
          <w:p w14:paraId="67479105" w14:textId="77777777" w:rsidR="004C4AFA" w:rsidRPr="004C4AFA" w:rsidRDefault="004C4AFA" w:rsidP="004C4AFA">
            <w:pPr>
              <w:rPr>
                <w:rFonts w:ascii="Arial" w:hAnsi="Arial" w:cs="Arial"/>
                <w:b/>
                <w:bCs/>
              </w:rPr>
            </w:pPr>
          </w:p>
        </w:tc>
        <w:tc>
          <w:tcPr>
            <w:tcW w:w="567" w:type="dxa"/>
          </w:tcPr>
          <w:p w14:paraId="3F93574A" w14:textId="77777777" w:rsidR="004C4AFA" w:rsidRPr="004C4AFA" w:rsidRDefault="004C4AFA" w:rsidP="004C4AFA">
            <w:pPr>
              <w:jc w:val="center"/>
              <w:rPr>
                <w:rFonts w:ascii="Arial" w:hAnsi="Arial" w:cs="Arial"/>
              </w:rPr>
            </w:pPr>
          </w:p>
        </w:tc>
      </w:tr>
      <w:tr w:rsidR="004C4AFA" w:rsidRPr="004C4AFA" w14:paraId="5BE410F1" w14:textId="77777777" w:rsidTr="00A45FC1">
        <w:tc>
          <w:tcPr>
            <w:tcW w:w="8364" w:type="dxa"/>
            <w:gridSpan w:val="2"/>
          </w:tcPr>
          <w:p w14:paraId="717959C5" w14:textId="11D4FE64" w:rsidR="004C4AFA" w:rsidRPr="004C4AFA" w:rsidRDefault="004C4AFA" w:rsidP="004C4AFA">
            <w:pPr>
              <w:rPr>
                <w:rFonts w:ascii="Arial" w:hAnsi="Arial" w:cs="Arial"/>
                <w:b/>
                <w:bCs/>
              </w:rPr>
            </w:pPr>
            <w:r w:rsidRPr="004C4AFA">
              <w:rPr>
                <w:rFonts w:ascii="Arial" w:hAnsi="Arial" w:cs="Arial"/>
                <w:b/>
                <w:bCs/>
              </w:rPr>
              <w:t>Purpose</w:t>
            </w:r>
          </w:p>
        </w:tc>
        <w:tc>
          <w:tcPr>
            <w:tcW w:w="567" w:type="dxa"/>
          </w:tcPr>
          <w:p w14:paraId="5775C3C4" w14:textId="77777777" w:rsidR="004C4AFA" w:rsidRPr="004C4AFA" w:rsidRDefault="004C4AFA" w:rsidP="004C4AFA">
            <w:pPr>
              <w:jc w:val="center"/>
              <w:rPr>
                <w:rFonts w:ascii="Arial" w:hAnsi="Arial" w:cs="Arial"/>
              </w:rPr>
            </w:pPr>
          </w:p>
        </w:tc>
      </w:tr>
      <w:tr w:rsidR="004C4AFA" w:rsidRPr="004C4AFA" w14:paraId="25F370B2" w14:textId="77777777" w:rsidTr="00A45FC1">
        <w:tc>
          <w:tcPr>
            <w:tcW w:w="8931" w:type="dxa"/>
            <w:gridSpan w:val="3"/>
          </w:tcPr>
          <w:p w14:paraId="4C2E43FF" w14:textId="77777777" w:rsidR="004C4AFA" w:rsidRPr="004C4AFA" w:rsidRDefault="004C4AFA" w:rsidP="004C4AFA">
            <w:pPr>
              <w:jc w:val="center"/>
              <w:rPr>
                <w:rFonts w:ascii="Arial" w:hAnsi="Arial" w:cs="Arial"/>
              </w:rPr>
            </w:pPr>
          </w:p>
        </w:tc>
      </w:tr>
      <w:tr w:rsidR="004C4AFA" w:rsidRPr="004C4AFA" w14:paraId="5F2183B5" w14:textId="77777777" w:rsidTr="00A45FC1">
        <w:tc>
          <w:tcPr>
            <w:tcW w:w="8931" w:type="dxa"/>
            <w:gridSpan w:val="3"/>
          </w:tcPr>
          <w:p w14:paraId="01550A63" w14:textId="77777777" w:rsidR="000D5576" w:rsidRPr="000D5576" w:rsidRDefault="000D5576" w:rsidP="000D5576">
            <w:pPr>
              <w:spacing w:before="240"/>
              <w:rPr>
                <w:rFonts w:ascii="Arial" w:hAnsi="Arial" w:cs="Arial"/>
                <w:sz w:val="22"/>
                <w:szCs w:val="22"/>
              </w:rPr>
            </w:pPr>
            <w:r w:rsidRPr="000D5576">
              <w:rPr>
                <w:rFonts w:ascii="Arial" w:hAnsi="Arial" w:cs="Arial"/>
                <w:sz w:val="22"/>
                <w:szCs w:val="22"/>
              </w:rPr>
              <w:t>To lead, direct and oversees all aspects of Golden Lane Housing’s (GLH) tenant experience service, developing policies, objectives, and initiatives. The role will lead the delivery of the tenant involvement strategy through tenant, customer and stakeholder engagement ensuring that the tenant voice is heard, respected, and valued throughout GLH.</w:t>
            </w:r>
          </w:p>
          <w:p w14:paraId="367C199C" w14:textId="77777777" w:rsidR="000D5576" w:rsidRPr="000D5576" w:rsidRDefault="000D5576" w:rsidP="000D5576">
            <w:pPr>
              <w:spacing w:before="240"/>
              <w:rPr>
                <w:rFonts w:ascii="Arial" w:hAnsi="Arial" w:cs="Arial"/>
                <w:sz w:val="22"/>
                <w:szCs w:val="22"/>
              </w:rPr>
            </w:pPr>
            <w:r w:rsidRPr="000D5576">
              <w:rPr>
                <w:rFonts w:ascii="Arial" w:hAnsi="Arial" w:cs="Arial"/>
                <w:sz w:val="22"/>
                <w:szCs w:val="22"/>
              </w:rPr>
              <w:t xml:space="preserve">To deliver GLH’s strategic objectives ensuring Regulatory consumer standard compliance with Transparency, Influence and Accountability standard (including Tenant Satisfaction Measures) and legal compliance for all tenant experience services. Development of a customer-focused culture that delivers high-quality services and satisfaction for tenants and customers ensuring services are co-designed with our tenants and shaped by their feedback. </w:t>
            </w:r>
          </w:p>
          <w:p w14:paraId="51EF3E81" w14:textId="77777777" w:rsidR="000D5576" w:rsidRPr="000D5576" w:rsidRDefault="000D5576" w:rsidP="000D5576">
            <w:pPr>
              <w:spacing w:before="240"/>
              <w:rPr>
                <w:rFonts w:ascii="Arial" w:hAnsi="Arial" w:cs="Arial"/>
                <w:sz w:val="22"/>
                <w:szCs w:val="22"/>
              </w:rPr>
            </w:pPr>
            <w:r w:rsidRPr="000D5576">
              <w:rPr>
                <w:rFonts w:ascii="Arial" w:hAnsi="Arial" w:cs="Arial"/>
                <w:sz w:val="22"/>
                <w:szCs w:val="22"/>
              </w:rPr>
              <w:t>As a member of the Leadership Team, to provide strategic direction and leadership for the delivery of exceptional customer experience across the entire customer journey achieving a high levels of tenant and customer satisfaction.</w:t>
            </w:r>
          </w:p>
          <w:p w14:paraId="632D6250" w14:textId="4FD1BAEA" w:rsidR="004C4AFA" w:rsidRPr="00C6286B" w:rsidRDefault="000D5576" w:rsidP="000D5576">
            <w:pPr>
              <w:spacing w:before="240"/>
              <w:rPr>
                <w:rFonts w:ascii="Arial" w:hAnsi="Arial" w:cs="Arial"/>
                <w:sz w:val="22"/>
                <w:szCs w:val="22"/>
              </w:rPr>
            </w:pPr>
            <w:r w:rsidRPr="000D5576">
              <w:rPr>
                <w:rFonts w:ascii="Arial" w:hAnsi="Arial" w:cs="Arial"/>
                <w:sz w:val="22"/>
                <w:szCs w:val="22"/>
              </w:rPr>
              <w:t>To lead, manage, monitor, and report on GLH’s complaint’s function ensuring complaints are dealt with fairly, efficiently, and respectfully meeting the Housing Ombudsman’s code. Report to the Executive all compliance, SLA’s, KPI’s, outcomes and learning. Support the formal engagement structures of the Board and Tenants Working Together Committee and More Voices More Choices Group.</w:t>
            </w:r>
          </w:p>
        </w:tc>
      </w:tr>
      <w:tr w:rsidR="004C4AFA" w:rsidRPr="004C4AFA" w14:paraId="5A542901" w14:textId="77777777" w:rsidTr="00A45FC1">
        <w:tc>
          <w:tcPr>
            <w:tcW w:w="8931" w:type="dxa"/>
            <w:gridSpan w:val="3"/>
          </w:tcPr>
          <w:p w14:paraId="51AC4EB4" w14:textId="77777777" w:rsidR="004C4AFA" w:rsidRPr="00C6286B" w:rsidRDefault="004C4AFA" w:rsidP="004C4AFA">
            <w:pPr>
              <w:rPr>
                <w:rFonts w:ascii="Arial" w:hAnsi="Arial" w:cs="Arial"/>
                <w:sz w:val="22"/>
                <w:szCs w:val="22"/>
              </w:rPr>
            </w:pPr>
          </w:p>
        </w:tc>
      </w:tr>
      <w:tr w:rsidR="004C4AFA" w:rsidRPr="004C4AFA" w14:paraId="0FC43126" w14:textId="77777777" w:rsidTr="00A45FC1">
        <w:tc>
          <w:tcPr>
            <w:tcW w:w="1980" w:type="dxa"/>
          </w:tcPr>
          <w:p w14:paraId="7F866411" w14:textId="3071033B" w:rsidR="004C4AFA" w:rsidRPr="00C6286B" w:rsidRDefault="004C4AFA" w:rsidP="004C4AFA">
            <w:pPr>
              <w:rPr>
                <w:rFonts w:ascii="Arial" w:hAnsi="Arial" w:cs="Arial"/>
                <w:b/>
                <w:bCs/>
                <w:sz w:val="22"/>
                <w:szCs w:val="22"/>
              </w:rPr>
            </w:pPr>
            <w:r w:rsidRPr="00C6286B">
              <w:rPr>
                <w:rFonts w:ascii="Arial" w:hAnsi="Arial" w:cs="Arial"/>
                <w:b/>
                <w:bCs/>
                <w:sz w:val="22"/>
                <w:szCs w:val="22"/>
              </w:rPr>
              <w:t>Location</w:t>
            </w:r>
          </w:p>
        </w:tc>
        <w:tc>
          <w:tcPr>
            <w:tcW w:w="6951" w:type="dxa"/>
            <w:gridSpan w:val="2"/>
          </w:tcPr>
          <w:p w14:paraId="038B3D88" w14:textId="00B3746F" w:rsidR="004C4AFA" w:rsidRPr="00C6286B" w:rsidRDefault="004C4AFA" w:rsidP="004C4AFA">
            <w:pPr>
              <w:rPr>
                <w:rFonts w:ascii="Arial" w:hAnsi="Arial" w:cs="Arial"/>
                <w:sz w:val="22"/>
                <w:szCs w:val="22"/>
              </w:rPr>
            </w:pPr>
          </w:p>
        </w:tc>
      </w:tr>
      <w:tr w:rsidR="004C4AFA" w:rsidRPr="004C4AFA" w14:paraId="5DF3BE9E" w14:textId="77777777" w:rsidTr="00A45FC1">
        <w:tc>
          <w:tcPr>
            <w:tcW w:w="8931" w:type="dxa"/>
            <w:gridSpan w:val="3"/>
          </w:tcPr>
          <w:p w14:paraId="28652491" w14:textId="77777777" w:rsidR="004C4AFA" w:rsidRDefault="000D5576" w:rsidP="004C4AFA">
            <w:pPr>
              <w:rPr>
                <w:rFonts w:ascii="Arial" w:hAnsi="Arial" w:cs="Arial"/>
                <w:sz w:val="22"/>
                <w:szCs w:val="22"/>
              </w:rPr>
            </w:pPr>
            <w:r w:rsidRPr="000D5576">
              <w:rPr>
                <w:rFonts w:ascii="Arial" w:hAnsi="Arial" w:cs="Arial"/>
                <w:sz w:val="22"/>
                <w:szCs w:val="22"/>
              </w:rPr>
              <w:t>Homebased with weekly travel to Manchester Office</w:t>
            </w:r>
          </w:p>
          <w:p w14:paraId="54B76361" w14:textId="77777777" w:rsidR="00F137EF" w:rsidRDefault="00F137EF" w:rsidP="004C4AFA">
            <w:pPr>
              <w:rPr>
                <w:rFonts w:ascii="Arial" w:hAnsi="Arial" w:cs="Arial"/>
                <w:sz w:val="22"/>
                <w:szCs w:val="22"/>
              </w:rPr>
            </w:pPr>
          </w:p>
          <w:p w14:paraId="7374ABE7" w14:textId="74C325AF" w:rsidR="00F137EF" w:rsidRPr="00C6286B" w:rsidRDefault="00F137EF" w:rsidP="004C4AFA">
            <w:pPr>
              <w:rPr>
                <w:rFonts w:ascii="Arial" w:hAnsi="Arial" w:cs="Arial"/>
                <w:sz w:val="22"/>
                <w:szCs w:val="22"/>
              </w:rPr>
            </w:pPr>
          </w:p>
        </w:tc>
      </w:tr>
    </w:tbl>
    <w:p w14:paraId="28A9653D" w14:textId="77777777" w:rsidR="004C4AFA" w:rsidRDefault="004C4AFA" w:rsidP="004C4AFA">
      <w:pPr>
        <w:jc w:val="center"/>
      </w:pPr>
    </w:p>
    <w:tbl>
      <w:tblPr>
        <w:tblStyle w:val="TableGrid"/>
        <w:tblW w:w="10207" w:type="dxa"/>
        <w:tblInd w:w="-289" w:type="dxa"/>
        <w:tblLook w:val="04A0" w:firstRow="1" w:lastRow="0" w:firstColumn="1" w:lastColumn="0" w:noHBand="0" w:noVBand="1"/>
      </w:tblPr>
      <w:tblGrid>
        <w:gridCol w:w="5529"/>
        <w:gridCol w:w="4678"/>
      </w:tblGrid>
      <w:tr w:rsidR="006A0602" w:rsidRPr="002A30A7" w14:paraId="691C018A" w14:textId="77777777" w:rsidTr="002A30A7">
        <w:trPr>
          <w:trHeight w:val="300"/>
        </w:trPr>
        <w:tc>
          <w:tcPr>
            <w:tcW w:w="5529" w:type="dxa"/>
          </w:tcPr>
          <w:p w14:paraId="68B13FF5" w14:textId="77777777" w:rsidR="006A0602" w:rsidRPr="002A30A7" w:rsidRDefault="006A0602" w:rsidP="002A30A7">
            <w:pPr>
              <w:rPr>
                <w:rFonts w:ascii="Arial" w:hAnsi="Arial" w:cs="Arial"/>
                <w:b/>
                <w:bCs/>
                <w:sz w:val="22"/>
                <w:szCs w:val="22"/>
              </w:rPr>
            </w:pPr>
            <w:r w:rsidRPr="002A30A7">
              <w:rPr>
                <w:rFonts w:ascii="Arial" w:hAnsi="Arial" w:cs="Arial"/>
                <w:b/>
                <w:bCs/>
                <w:sz w:val="22"/>
                <w:szCs w:val="22"/>
              </w:rPr>
              <w:lastRenderedPageBreak/>
              <w:t>Area of role and description</w:t>
            </w:r>
          </w:p>
        </w:tc>
        <w:tc>
          <w:tcPr>
            <w:tcW w:w="4678" w:type="dxa"/>
          </w:tcPr>
          <w:p w14:paraId="72EF805A" w14:textId="77777777" w:rsidR="006A0602" w:rsidRPr="002A30A7" w:rsidRDefault="006A0602" w:rsidP="002A30A7">
            <w:pPr>
              <w:rPr>
                <w:rFonts w:ascii="Arial" w:hAnsi="Arial" w:cs="Arial"/>
                <w:b/>
                <w:bCs/>
                <w:sz w:val="22"/>
                <w:szCs w:val="22"/>
              </w:rPr>
            </w:pPr>
            <w:r w:rsidRPr="002A30A7">
              <w:rPr>
                <w:rFonts w:ascii="Arial" w:hAnsi="Arial" w:cs="Arial"/>
                <w:b/>
                <w:bCs/>
                <w:sz w:val="22"/>
                <w:szCs w:val="22"/>
              </w:rPr>
              <w:t>Performance expectations</w:t>
            </w:r>
          </w:p>
        </w:tc>
      </w:tr>
      <w:tr w:rsidR="006A0602" w:rsidRPr="002A30A7" w14:paraId="1227AEB3" w14:textId="77777777" w:rsidTr="002A30A7">
        <w:trPr>
          <w:trHeight w:val="300"/>
        </w:trPr>
        <w:tc>
          <w:tcPr>
            <w:tcW w:w="5529" w:type="dxa"/>
          </w:tcPr>
          <w:p w14:paraId="72740D48" w14:textId="77777777" w:rsidR="006A0602" w:rsidRPr="002A30A7" w:rsidRDefault="006A0602" w:rsidP="002A30A7">
            <w:pPr>
              <w:rPr>
                <w:rFonts w:ascii="Arial" w:hAnsi="Arial" w:cs="Arial"/>
                <w:b/>
                <w:bCs/>
                <w:sz w:val="22"/>
                <w:szCs w:val="22"/>
              </w:rPr>
            </w:pPr>
            <w:r w:rsidRPr="002A30A7">
              <w:rPr>
                <w:rFonts w:ascii="Arial" w:hAnsi="Arial" w:cs="Arial"/>
                <w:b/>
                <w:bCs/>
                <w:sz w:val="22"/>
                <w:szCs w:val="22"/>
              </w:rPr>
              <w:t>Leadership and management</w:t>
            </w:r>
          </w:p>
          <w:p w14:paraId="692E708D" w14:textId="77777777" w:rsidR="006A0602" w:rsidRPr="002A30A7" w:rsidRDefault="006A0602" w:rsidP="002A30A7">
            <w:pPr>
              <w:pStyle w:val="ListParagraph"/>
              <w:numPr>
                <w:ilvl w:val="0"/>
                <w:numId w:val="7"/>
              </w:numPr>
              <w:rPr>
                <w:rFonts w:ascii="Arial" w:hAnsi="Arial" w:cs="Arial"/>
                <w:sz w:val="22"/>
                <w:szCs w:val="22"/>
              </w:rPr>
            </w:pPr>
            <w:r w:rsidRPr="002A30A7">
              <w:rPr>
                <w:rFonts w:ascii="Arial" w:hAnsi="Arial" w:cs="Arial"/>
                <w:sz w:val="22"/>
                <w:szCs w:val="22"/>
              </w:rPr>
              <w:t>To contribute to the development, implementation and review of GLH’s corporate strategies, annual delivery plans, policies and procedures.</w:t>
            </w:r>
          </w:p>
          <w:p w14:paraId="35A0B28E" w14:textId="77777777" w:rsidR="006A0602" w:rsidRPr="002A30A7" w:rsidRDefault="006A0602" w:rsidP="002A30A7">
            <w:pPr>
              <w:pStyle w:val="ListParagraph"/>
              <w:numPr>
                <w:ilvl w:val="0"/>
                <w:numId w:val="7"/>
              </w:numPr>
              <w:rPr>
                <w:rFonts w:ascii="Arial" w:hAnsi="Arial" w:cs="Arial"/>
                <w:sz w:val="22"/>
                <w:szCs w:val="22"/>
              </w:rPr>
            </w:pPr>
            <w:r w:rsidRPr="002A30A7">
              <w:rPr>
                <w:rFonts w:ascii="Arial" w:hAnsi="Arial" w:cs="Arial"/>
                <w:sz w:val="22"/>
                <w:szCs w:val="22"/>
              </w:rPr>
              <w:t>To be an active, effective and accountable member of the Leadership Team, supporting the Executive Team to deliver the corporate strategy goals within Our Plan.</w:t>
            </w:r>
          </w:p>
          <w:p w14:paraId="70EEC98D" w14:textId="77777777" w:rsidR="006A0602" w:rsidRPr="002A30A7" w:rsidRDefault="006A0602" w:rsidP="002A30A7">
            <w:pPr>
              <w:pStyle w:val="ListParagraph"/>
              <w:numPr>
                <w:ilvl w:val="0"/>
                <w:numId w:val="7"/>
              </w:numPr>
              <w:rPr>
                <w:rFonts w:ascii="Arial" w:hAnsi="Arial" w:cs="Arial"/>
                <w:sz w:val="22"/>
                <w:szCs w:val="22"/>
                <w:lang w:eastAsia="en-GB"/>
              </w:rPr>
            </w:pPr>
            <w:r w:rsidRPr="002A30A7">
              <w:rPr>
                <w:rFonts w:ascii="Arial" w:hAnsi="Arial" w:cs="Arial"/>
                <w:sz w:val="22"/>
                <w:szCs w:val="22"/>
                <w:lang w:eastAsia="en-GB"/>
              </w:rPr>
              <w:t>Development, implementation and delivery of the Tenant Involvement Strategy (plan).</w:t>
            </w:r>
          </w:p>
          <w:p w14:paraId="13B70981" w14:textId="77777777" w:rsidR="006A0602" w:rsidRPr="002A30A7" w:rsidRDefault="006A0602" w:rsidP="002A30A7">
            <w:pPr>
              <w:numPr>
                <w:ilvl w:val="0"/>
                <w:numId w:val="7"/>
              </w:numPr>
              <w:rPr>
                <w:rFonts w:ascii="Arial" w:hAnsi="Arial" w:cs="Arial"/>
                <w:b/>
                <w:bCs/>
                <w:sz w:val="22"/>
                <w:szCs w:val="22"/>
              </w:rPr>
            </w:pPr>
            <w:r w:rsidRPr="002A30A7">
              <w:rPr>
                <w:rFonts w:ascii="Arial" w:hAnsi="Arial" w:cs="Arial"/>
                <w:sz w:val="22"/>
                <w:szCs w:val="22"/>
                <w:lang w:eastAsia="en-GB"/>
              </w:rPr>
              <w:t>Responsible for achieving agreed Key Performance Indicators. Set, achieve and be accountable for operational performance indicators, including benchmarking performance externally and implementing plans for addressing areas of underperformance.  </w:t>
            </w:r>
          </w:p>
          <w:p w14:paraId="6FF46743" w14:textId="77777777" w:rsidR="006A0602" w:rsidRPr="002A30A7" w:rsidRDefault="006A0602" w:rsidP="002A30A7">
            <w:pPr>
              <w:pStyle w:val="ListParagraph"/>
              <w:numPr>
                <w:ilvl w:val="0"/>
                <w:numId w:val="7"/>
              </w:numPr>
              <w:rPr>
                <w:rFonts w:ascii="Arial" w:hAnsi="Arial" w:cs="Arial"/>
                <w:b/>
                <w:bCs/>
                <w:sz w:val="22"/>
                <w:szCs w:val="22"/>
              </w:rPr>
            </w:pPr>
            <w:r w:rsidRPr="002A30A7">
              <w:rPr>
                <w:rFonts w:ascii="Arial" w:hAnsi="Arial" w:cs="Arial"/>
                <w:sz w:val="22"/>
                <w:szCs w:val="22"/>
                <w:lang w:eastAsia="en-GB"/>
              </w:rPr>
              <w:t>Effectively communicate relevant business and performance data within GLH and to tenants and stakeholders where appropriate. </w:t>
            </w:r>
          </w:p>
          <w:p w14:paraId="0E2A6789" w14:textId="77777777" w:rsidR="006A0602" w:rsidRPr="002A30A7" w:rsidRDefault="006A0602" w:rsidP="002A30A7">
            <w:pPr>
              <w:pStyle w:val="ListParagraph"/>
              <w:numPr>
                <w:ilvl w:val="0"/>
                <w:numId w:val="7"/>
              </w:numPr>
              <w:rPr>
                <w:rFonts w:ascii="Arial" w:hAnsi="Arial" w:cs="Arial"/>
                <w:b/>
                <w:bCs/>
                <w:sz w:val="22"/>
                <w:szCs w:val="22"/>
              </w:rPr>
            </w:pPr>
            <w:r w:rsidRPr="002A30A7">
              <w:rPr>
                <w:rFonts w:ascii="Arial" w:hAnsi="Arial" w:cs="Arial"/>
                <w:sz w:val="22"/>
                <w:szCs w:val="22"/>
                <w:lang w:eastAsia="en-GB"/>
              </w:rPr>
              <w:t>Responsible for meeting Regulatory Consumer Standards for</w:t>
            </w:r>
            <w:r w:rsidRPr="002A30A7">
              <w:rPr>
                <w:rFonts w:ascii="Arial" w:hAnsi="Arial" w:cs="Arial"/>
                <w:sz w:val="22"/>
                <w:szCs w:val="22"/>
              </w:rPr>
              <w:t xml:space="preserve"> </w:t>
            </w:r>
            <w:r w:rsidRPr="002A30A7">
              <w:rPr>
                <w:rFonts w:ascii="Arial" w:hAnsi="Arial" w:cs="Arial"/>
                <w:sz w:val="22"/>
                <w:szCs w:val="22"/>
                <w:lang w:eastAsia="en-GB"/>
              </w:rPr>
              <w:t>​Transparency, Influence and Accountability Standard and statutory requirements and providing assurance against relevant standards. </w:t>
            </w:r>
          </w:p>
          <w:p w14:paraId="0BD29F5B" w14:textId="77777777" w:rsidR="006A0602" w:rsidRPr="002A30A7" w:rsidRDefault="006A0602" w:rsidP="002A30A7">
            <w:pPr>
              <w:numPr>
                <w:ilvl w:val="0"/>
                <w:numId w:val="7"/>
              </w:numPr>
              <w:rPr>
                <w:rFonts w:ascii="Arial" w:hAnsi="Arial" w:cs="Arial"/>
                <w:b/>
                <w:bCs/>
                <w:sz w:val="22"/>
                <w:szCs w:val="22"/>
              </w:rPr>
            </w:pPr>
            <w:r w:rsidRPr="002A30A7">
              <w:rPr>
                <w:rFonts w:ascii="Arial" w:hAnsi="Arial" w:cs="Arial"/>
                <w:sz w:val="22"/>
                <w:szCs w:val="22"/>
                <w:lang w:eastAsia="en-GB"/>
              </w:rPr>
              <w:t>Managing designated budgets, ensuring that value for money is achieved in all circumstances through the monitoring and control of expenditure and the early identification of any financial irregularity.  </w:t>
            </w:r>
          </w:p>
          <w:p w14:paraId="2A381C75" w14:textId="77777777" w:rsidR="006A0602" w:rsidRPr="002A30A7" w:rsidRDefault="006A0602" w:rsidP="002A30A7">
            <w:pPr>
              <w:pStyle w:val="ListParagraph"/>
              <w:numPr>
                <w:ilvl w:val="0"/>
                <w:numId w:val="7"/>
              </w:numPr>
              <w:rPr>
                <w:rFonts w:ascii="Arial" w:hAnsi="Arial" w:cs="Arial"/>
                <w:b/>
                <w:bCs/>
                <w:sz w:val="22"/>
                <w:szCs w:val="22"/>
              </w:rPr>
            </w:pPr>
            <w:r w:rsidRPr="002A30A7">
              <w:rPr>
                <w:rFonts w:ascii="Arial" w:hAnsi="Arial" w:cs="Arial"/>
                <w:sz w:val="22"/>
                <w:szCs w:val="22"/>
                <w:lang w:eastAsia="en-GB"/>
              </w:rPr>
              <w:t>Ensure the procurement and contract award for the delivery of works, goods and services meeting GLH policies and  Regulations.</w:t>
            </w:r>
          </w:p>
          <w:p w14:paraId="45A88966" w14:textId="77777777" w:rsidR="006A0602" w:rsidRPr="002A30A7" w:rsidRDefault="006A0602" w:rsidP="002A30A7">
            <w:pPr>
              <w:pStyle w:val="ListParagraph"/>
              <w:numPr>
                <w:ilvl w:val="0"/>
                <w:numId w:val="7"/>
              </w:numPr>
              <w:rPr>
                <w:rFonts w:ascii="Arial" w:hAnsi="Arial" w:cs="Arial"/>
                <w:b/>
                <w:bCs/>
                <w:sz w:val="22"/>
                <w:szCs w:val="22"/>
              </w:rPr>
            </w:pPr>
            <w:r w:rsidRPr="002A30A7">
              <w:rPr>
                <w:rFonts w:ascii="Arial" w:eastAsia="Arial" w:hAnsi="Arial" w:cs="Arial"/>
                <w:sz w:val="22"/>
                <w:szCs w:val="22"/>
              </w:rPr>
              <w:t>Ensure compliance with organisational requirements for Data Protection, risk management, Safeguarding, Health &amp; Safety and other legal and statutory requirements.</w:t>
            </w:r>
          </w:p>
          <w:p w14:paraId="6DABE02C" w14:textId="77777777" w:rsidR="006A0602" w:rsidRPr="002A30A7" w:rsidRDefault="006A0602" w:rsidP="002A30A7">
            <w:pPr>
              <w:pStyle w:val="ListParagraph"/>
              <w:numPr>
                <w:ilvl w:val="0"/>
                <w:numId w:val="7"/>
              </w:numPr>
              <w:rPr>
                <w:rFonts w:ascii="Arial" w:hAnsi="Arial" w:cs="Arial"/>
                <w:sz w:val="22"/>
                <w:szCs w:val="22"/>
              </w:rPr>
            </w:pPr>
            <w:r w:rsidRPr="002A30A7">
              <w:rPr>
                <w:rFonts w:ascii="Arial" w:hAnsi="Arial" w:cs="Arial"/>
                <w:sz w:val="22"/>
                <w:szCs w:val="22"/>
              </w:rPr>
              <w:t>Effectively lead individuals and team by coaching, supporting, and developing colleagues both individually and in teams to maximise engagement; personal development and growth; personal and team accountability and job satisfaction levels enabling retention of talent and delivery of  excellent services for customers.</w:t>
            </w:r>
          </w:p>
          <w:p w14:paraId="75C3FB2E" w14:textId="77777777" w:rsidR="006A0602" w:rsidRPr="002A30A7" w:rsidRDefault="006A0602" w:rsidP="002A30A7">
            <w:pPr>
              <w:pStyle w:val="ListParagraph"/>
              <w:numPr>
                <w:ilvl w:val="0"/>
                <w:numId w:val="7"/>
              </w:numPr>
              <w:rPr>
                <w:rFonts w:ascii="Arial" w:hAnsi="Arial" w:cs="Arial"/>
                <w:sz w:val="22"/>
                <w:szCs w:val="22"/>
              </w:rPr>
            </w:pPr>
            <w:r w:rsidRPr="002A30A7">
              <w:rPr>
                <w:rFonts w:ascii="Arial" w:hAnsi="Arial" w:cs="Arial"/>
                <w:sz w:val="22"/>
                <w:szCs w:val="22"/>
              </w:rPr>
              <w:t>To promote GLH values and mutual expectations.</w:t>
            </w:r>
          </w:p>
        </w:tc>
        <w:tc>
          <w:tcPr>
            <w:tcW w:w="4678" w:type="dxa"/>
          </w:tcPr>
          <w:p w14:paraId="7A881602" w14:textId="77777777" w:rsidR="006A0602" w:rsidRPr="002A30A7" w:rsidRDefault="006A0602" w:rsidP="002A30A7">
            <w:pPr>
              <w:rPr>
                <w:rFonts w:ascii="Arial" w:hAnsi="Arial" w:cs="Arial"/>
                <w:sz w:val="22"/>
                <w:szCs w:val="22"/>
              </w:rPr>
            </w:pPr>
          </w:p>
          <w:p w14:paraId="51C14622" w14:textId="77777777" w:rsidR="006A0602" w:rsidRPr="002A30A7" w:rsidRDefault="006A0602" w:rsidP="002A30A7">
            <w:pPr>
              <w:pStyle w:val="ListParagraph"/>
              <w:numPr>
                <w:ilvl w:val="0"/>
                <w:numId w:val="5"/>
              </w:numPr>
              <w:rPr>
                <w:rFonts w:ascii="Arial" w:hAnsi="Arial" w:cs="Arial"/>
                <w:sz w:val="22"/>
                <w:szCs w:val="22"/>
              </w:rPr>
            </w:pPr>
            <w:r w:rsidRPr="002A30A7">
              <w:rPr>
                <w:rFonts w:ascii="Arial" w:hAnsi="Arial" w:cs="Arial"/>
                <w:sz w:val="22"/>
                <w:szCs w:val="22"/>
              </w:rPr>
              <w:t xml:space="preserve">Strategic Delivery Plan is in place and monitored </w:t>
            </w:r>
          </w:p>
          <w:p w14:paraId="7EAC667B" w14:textId="77777777" w:rsidR="006A0602" w:rsidRPr="002A30A7" w:rsidRDefault="006A0602" w:rsidP="002A30A7">
            <w:pPr>
              <w:pStyle w:val="ListParagraph"/>
              <w:numPr>
                <w:ilvl w:val="0"/>
                <w:numId w:val="5"/>
              </w:numPr>
              <w:rPr>
                <w:rFonts w:ascii="Arial" w:hAnsi="Arial" w:cs="Arial"/>
                <w:sz w:val="22"/>
                <w:szCs w:val="22"/>
              </w:rPr>
            </w:pPr>
            <w:r w:rsidRPr="002A30A7">
              <w:rPr>
                <w:rFonts w:ascii="Arial" w:hAnsi="Arial" w:cs="Arial"/>
                <w:sz w:val="22"/>
                <w:szCs w:val="22"/>
              </w:rPr>
              <w:t>Tenant Satisfaction Measures and Complaint Performance are reported in line with Regulatory requirements</w:t>
            </w:r>
          </w:p>
          <w:p w14:paraId="36E47E9C" w14:textId="77777777" w:rsidR="006A0602" w:rsidRPr="002A30A7" w:rsidRDefault="006A0602" w:rsidP="002A30A7">
            <w:pPr>
              <w:pStyle w:val="ListParagraph"/>
              <w:numPr>
                <w:ilvl w:val="0"/>
                <w:numId w:val="5"/>
              </w:numPr>
              <w:rPr>
                <w:rFonts w:ascii="Arial" w:hAnsi="Arial" w:cs="Arial"/>
                <w:sz w:val="22"/>
                <w:szCs w:val="22"/>
              </w:rPr>
            </w:pPr>
            <w:r w:rsidRPr="002A30A7">
              <w:rPr>
                <w:rFonts w:ascii="Arial" w:hAnsi="Arial" w:cs="Arial"/>
                <w:sz w:val="22"/>
                <w:szCs w:val="22"/>
              </w:rPr>
              <w:t>Compliance with all relevant regulations and standards</w:t>
            </w:r>
          </w:p>
          <w:p w14:paraId="76D9FF4F" w14:textId="77777777" w:rsidR="006A0602" w:rsidRPr="002A30A7" w:rsidRDefault="006A0602" w:rsidP="002A30A7">
            <w:pPr>
              <w:numPr>
                <w:ilvl w:val="0"/>
                <w:numId w:val="5"/>
              </w:numPr>
              <w:rPr>
                <w:rFonts w:ascii="Arial" w:hAnsi="Arial" w:cs="Arial"/>
                <w:sz w:val="22"/>
                <w:szCs w:val="22"/>
              </w:rPr>
            </w:pPr>
            <w:r w:rsidRPr="002A30A7">
              <w:rPr>
                <w:rFonts w:ascii="Arial" w:hAnsi="Arial" w:cs="Arial"/>
                <w:sz w:val="22"/>
                <w:szCs w:val="22"/>
              </w:rPr>
              <w:t xml:space="preserve">Produce high quality reports  for Executive, board and committees </w:t>
            </w:r>
          </w:p>
          <w:p w14:paraId="24247555" w14:textId="77777777" w:rsidR="006A0602" w:rsidRPr="002A30A7" w:rsidRDefault="006A0602" w:rsidP="002A30A7">
            <w:pPr>
              <w:numPr>
                <w:ilvl w:val="0"/>
                <w:numId w:val="5"/>
              </w:numPr>
              <w:rPr>
                <w:rFonts w:ascii="Arial" w:hAnsi="Arial" w:cs="Arial"/>
                <w:sz w:val="22"/>
                <w:szCs w:val="22"/>
              </w:rPr>
            </w:pPr>
            <w:r w:rsidRPr="002A30A7">
              <w:rPr>
                <w:rFonts w:ascii="Arial" w:hAnsi="Arial" w:cs="Arial"/>
                <w:sz w:val="22"/>
                <w:szCs w:val="22"/>
              </w:rPr>
              <w:t>Attend Leadership team meetings.</w:t>
            </w:r>
          </w:p>
          <w:p w14:paraId="25B60CA1" w14:textId="77777777" w:rsidR="006A0602" w:rsidRPr="002A30A7" w:rsidRDefault="006A0602" w:rsidP="002A30A7">
            <w:pPr>
              <w:pStyle w:val="ListParagraph"/>
              <w:numPr>
                <w:ilvl w:val="0"/>
                <w:numId w:val="5"/>
              </w:numPr>
              <w:rPr>
                <w:rFonts w:ascii="Arial" w:hAnsi="Arial" w:cs="Arial"/>
                <w:sz w:val="22"/>
                <w:szCs w:val="22"/>
              </w:rPr>
            </w:pPr>
            <w:r w:rsidRPr="002A30A7">
              <w:rPr>
                <w:rFonts w:ascii="Arial" w:hAnsi="Arial" w:cs="Arial"/>
                <w:sz w:val="22"/>
                <w:szCs w:val="22"/>
              </w:rPr>
              <w:t>Performance KPI’s are reported to Performance Scrutiny and Challenge meetings highlighting positive outcomes and plans to address under performance.</w:t>
            </w:r>
          </w:p>
          <w:p w14:paraId="540F52A8" w14:textId="77777777" w:rsidR="006A0602" w:rsidRPr="002A30A7" w:rsidRDefault="006A0602" w:rsidP="002A30A7">
            <w:pPr>
              <w:pStyle w:val="ListParagraph"/>
              <w:numPr>
                <w:ilvl w:val="0"/>
                <w:numId w:val="5"/>
              </w:numPr>
              <w:rPr>
                <w:rFonts w:ascii="Arial" w:hAnsi="Arial" w:cs="Arial"/>
                <w:sz w:val="22"/>
                <w:szCs w:val="22"/>
              </w:rPr>
            </w:pPr>
            <w:r w:rsidRPr="002A30A7">
              <w:rPr>
                <w:rFonts w:ascii="Arial" w:hAnsi="Arial" w:cs="Arial"/>
                <w:sz w:val="22"/>
                <w:szCs w:val="22"/>
              </w:rPr>
              <w:t>Risk Registers are accurate and maintained and robust controls are maintained including the identification, management and reporting of risk.</w:t>
            </w:r>
          </w:p>
          <w:p w14:paraId="6AE2CC86" w14:textId="77777777" w:rsidR="006A0602" w:rsidRPr="002A30A7" w:rsidRDefault="006A0602" w:rsidP="002A30A7">
            <w:pPr>
              <w:pStyle w:val="ListParagraph"/>
              <w:numPr>
                <w:ilvl w:val="0"/>
                <w:numId w:val="5"/>
              </w:numPr>
              <w:rPr>
                <w:rFonts w:ascii="Arial" w:hAnsi="Arial" w:cs="Arial"/>
                <w:sz w:val="22"/>
                <w:szCs w:val="22"/>
              </w:rPr>
            </w:pPr>
            <w:r w:rsidRPr="002A30A7">
              <w:rPr>
                <w:rFonts w:ascii="Arial" w:hAnsi="Arial" w:cs="Arial"/>
                <w:sz w:val="22"/>
                <w:szCs w:val="22"/>
              </w:rPr>
              <w:t>Tenant Experience services and involvement activities are delivered within agreed budgets.</w:t>
            </w:r>
          </w:p>
          <w:p w14:paraId="19CD1430" w14:textId="77777777" w:rsidR="006A0602" w:rsidRPr="002A30A7" w:rsidRDefault="006A0602" w:rsidP="002A30A7">
            <w:pPr>
              <w:numPr>
                <w:ilvl w:val="0"/>
                <w:numId w:val="5"/>
              </w:numPr>
              <w:rPr>
                <w:rFonts w:ascii="Arial" w:hAnsi="Arial" w:cs="Arial"/>
                <w:sz w:val="22"/>
                <w:szCs w:val="22"/>
              </w:rPr>
            </w:pPr>
            <w:r w:rsidRPr="002A30A7">
              <w:rPr>
                <w:rFonts w:ascii="Arial" w:hAnsi="Arial" w:cs="Arial"/>
                <w:sz w:val="22"/>
                <w:szCs w:val="22"/>
              </w:rPr>
              <w:t>Team members are inspired to maximise their potential to deliver excellent service delivery to tenants and customers.</w:t>
            </w:r>
          </w:p>
          <w:p w14:paraId="6B8C314E" w14:textId="77777777" w:rsidR="006A0602" w:rsidRPr="002A30A7" w:rsidRDefault="006A0602" w:rsidP="002A30A7">
            <w:pPr>
              <w:pStyle w:val="ListParagraph"/>
              <w:numPr>
                <w:ilvl w:val="0"/>
                <w:numId w:val="5"/>
              </w:numPr>
              <w:rPr>
                <w:rFonts w:ascii="Arial" w:hAnsi="Arial" w:cs="Arial"/>
                <w:b/>
                <w:bCs/>
                <w:sz w:val="22"/>
                <w:szCs w:val="22"/>
              </w:rPr>
            </w:pPr>
            <w:r w:rsidRPr="002A30A7">
              <w:rPr>
                <w:rFonts w:ascii="Arial" w:hAnsi="Arial" w:cs="Arial"/>
                <w:sz w:val="22"/>
                <w:szCs w:val="22"/>
                <w:lang w:eastAsia="en-GB"/>
              </w:rPr>
              <w:t>Provide motivational leadership and support to managers and their teams ensuring clarity of direction, effective communication, and development of personal potential.</w:t>
            </w:r>
          </w:p>
          <w:p w14:paraId="7C4C5C31" w14:textId="77777777" w:rsidR="006A0602" w:rsidRPr="002A30A7" w:rsidRDefault="006A0602" w:rsidP="002A30A7">
            <w:pPr>
              <w:pStyle w:val="ListParagraph"/>
              <w:numPr>
                <w:ilvl w:val="0"/>
                <w:numId w:val="5"/>
              </w:numPr>
              <w:rPr>
                <w:rFonts w:ascii="Arial" w:hAnsi="Arial" w:cs="Arial"/>
                <w:sz w:val="22"/>
                <w:szCs w:val="22"/>
              </w:rPr>
            </w:pPr>
            <w:r w:rsidRPr="002A30A7">
              <w:rPr>
                <w:rFonts w:ascii="Arial" w:hAnsi="Arial" w:cs="Arial"/>
                <w:sz w:val="22"/>
                <w:szCs w:val="22"/>
              </w:rPr>
              <w:t>Follow our values, mutual expectations and leaders framework.</w:t>
            </w:r>
          </w:p>
          <w:p w14:paraId="1879C282" w14:textId="77777777" w:rsidR="006A0602" w:rsidRPr="002A30A7" w:rsidRDefault="006A0602" w:rsidP="002A30A7">
            <w:pPr>
              <w:pStyle w:val="ListParagraph"/>
              <w:rPr>
                <w:rFonts w:ascii="Arial" w:hAnsi="Arial" w:cs="Arial"/>
                <w:sz w:val="22"/>
                <w:szCs w:val="22"/>
              </w:rPr>
            </w:pPr>
          </w:p>
        </w:tc>
      </w:tr>
      <w:tr w:rsidR="006A0602" w:rsidRPr="002A30A7" w14:paraId="27127A9A" w14:textId="77777777" w:rsidTr="002A30A7">
        <w:trPr>
          <w:trHeight w:val="300"/>
        </w:trPr>
        <w:tc>
          <w:tcPr>
            <w:tcW w:w="5529" w:type="dxa"/>
          </w:tcPr>
          <w:p w14:paraId="1765C8B8" w14:textId="77777777" w:rsidR="006A0602" w:rsidRPr="002A30A7" w:rsidRDefault="006A0602" w:rsidP="002A30A7">
            <w:pPr>
              <w:rPr>
                <w:rFonts w:ascii="Arial" w:hAnsi="Arial" w:cs="Arial"/>
                <w:b/>
                <w:bCs/>
                <w:sz w:val="22"/>
                <w:szCs w:val="22"/>
              </w:rPr>
            </w:pPr>
            <w:r w:rsidRPr="002A30A7">
              <w:rPr>
                <w:rFonts w:ascii="Arial" w:hAnsi="Arial" w:cs="Arial"/>
                <w:b/>
                <w:bCs/>
                <w:sz w:val="22"/>
                <w:szCs w:val="22"/>
              </w:rPr>
              <w:t xml:space="preserve">Stakeholder Relationship </w:t>
            </w:r>
          </w:p>
          <w:p w14:paraId="36D1FD75" w14:textId="77777777" w:rsidR="006A0602" w:rsidRPr="002A30A7" w:rsidRDefault="006A0602" w:rsidP="002A30A7">
            <w:pPr>
              <w:numPr>
                <w:ilvl w:val="0"/>
                <w:numId w:val="5"/>
              </w:numPr>
              <w:rPr>
                <w:rFonts w:ascii="Arial" w:hAnsi="Arial" w:cs="Arial"/>
                <w:sz w:val="22"/>
                <w:szCs w:val="22"/>
                <w:u w:val="single"/>
              </w:rPr>
            </w:pPr>
            <w:r w:rsidRPr="002A30A7">
              <w:rPr>
                <w:rFonts w:ascii="Arial" w:hAnsi="Arial" w:cs="Arial"/>
                <w:sz w:val="22"/>
                <w:szCs w:val="22"/>
              </w:rPr>
              <w:t xml:space="preserve">To work closely with colleagues in other departments to ensure customer service and tenant engagement activity is properly managed and delivered at a corporate level </w:t>
            </w:r>
            <w:r w:rsidRPr="002A30A7">
              <w:rPr>
                <w:rFonts w:ascii="Arial" w:hAnsi="Arial" w:cs="Arial"/>
                <w:sz w:val="22"/>
                <w:szCs w:val="22"/>
              </w:rPr>
              <w:lastRenderedPageBreak/>
              <w:t>and that other departments are fully involved in delivery.</w:t>
            </w:r>
          </w:p>
          <w:p w14:paraId="30F53757" w14:textId="77777777" w:rsidR="006A0602" w:rsidRPr="002A30A7" w:rsidRDefault="006A0602" w:rsidP="002A30A7">
            <w:pPr>
              <w:numPr>
                <w:ilvl w:val="0"/>
                <w:numId w:val="5"/>
              </w:numPr>
              <w:rPr>
                <w:rFonts w:ascii="Arial" w:hAnsi="Arial" w:cs="Arial"/>
                <w:sz w:val="22"/>
                <w:szCs w:val="22"/>
              </w:rPr>
            </w:pPr>
            <w:r w:rsidRPr="002A30A7">
              <w:rPr>
                <w:rFonts w:ascii="Arial" w:hAnsi="Arial" w:cs="Arial"/>
                <w:sz w:val="22"/>
                <w:szCs w:val="22"/>
              </w:rPr>
              <w:t>To deliver effective consultation and involvement with tenants, and other stakeholders enabling their participation, influence and scrutiny in services which affect them. </w:t>
            </w:r>
          </w:p>
          <w:p w14:paraId="4A58C32C" w14:textId="77777777" w:rsidR="006A0602" w:rsidRPr="002A30A7" w:rsidRDefault="006A0602" w:rsidP="002A30A7">
            <w:pPr>
              <w:numPr>
                <w:ilvl w:val="0"/>
                <w:numId w:val="5"/>
              </w:numPr>
              <w:rPr>
                <w:rFonts w:ascii="Arial" w:hAnsi="Arial" w:cs="Arial"/>
                <w:sz w:val="22"/>
                <w:szCs w:val="22"/>
              </w:rPr>
            </w:pPr>
            <w:r w:rsidRPr="002A30A7">
              <w:rPr>
                <w:rFonts w:ascii="Arial" w:hAnsi="Arial" w:cs="Arial"/>
                <w:sz w:val="22"/>
                <w:szCs w:val="22"/>
              </w:rPr>
              <w:t>Develop manage and maintain effective partnership working arrangements with tenant representatives</w:t>
            </w:r>
          </w:p>
        </w:tc>
        <w:tc>
          <w:tcPr>
            <w:tcW w:w="4678" w:type="dxa"/>
          </w:tcPr>
          <w:p w14:paraId="4A443C29" w14:textId="77777777" w:rsidR="006A0602" w:rsidRPr="002A30A7" w:rsidRDefault="006A0602" w:rsidP="002A30A7">
            <w:pPr>
              <w:rPr>
                <w:rFonts w:ascii="Arial" w:hAnsi="Arial" w:cs="Arial"/>
                <w:sz w:val="22"/>
                <w:szCs w:val="22"/>
              </w:rPr>
            </w:pPr>
          </w:p>
          <w:p w14:paraId="36C4CE2E" w14:textId="77777777" w:rsidR="006A0602" w:rsidRPr="002A30A7" w:rsidRDefault="006A0602" w:rsidP="002A30A7">
            <w:pPr>
              <w:pStyle w:val="ListParagraph"/>
              <w:numPr>
                <w:ilvl w:val="0"/>
                <w:numId w:val="5"/>
              </w:numPr>
              <w:rPr>
                <w:rFonts w:ascii="Arial" w:hAnsi="Arial" w:cs="Arial"/>
                <w:sz w:val="22"/>
                <w:szCs w:val="22"/>
              </w:rPr>
            </w:pPr>
            <w:r w:rsidRPr="002A30A7">
              <w:rPr>
                <w:rFonts w:ascii="Arial" w:hAnsi="Arial" w:cs="Arial"/>
                <w:sz w:val="22"/>
                <w:szCs w:val="22"/>
              </w:rPr>
              <w:t>Collaborative working with peers and teams across GLH.</w:t>
            </w:r>
          </w:p>
          <w:p w14:paraId="37269A05" w14:textId="77777777" w:rsidR="006A0602" w:rsidRPr="002A30A7" w:rsidRDefault="006A0602" w:rsidP="002A30A7">
            <w:pPr>
              <w:pStyle w:val="ListParagraph"/>
              <w:numPr>
                <w:ilvl w:val="0"/>
                <w:numId w:val="5"/>
              </w:numPr>
              <w:rPr>
                <w:rFonts w:ascii="Arial" w:hAnsi="Arial" w:cs="Arial"/>
                <w:sz w:val="22"/>
                <w:szCs w:val="22"/>
              </w:rPr>
            </w:pPr>
            <w:r w:rsidRPr="002A30A7">
              <w:rPr>
                <w:rFonts w:ascii="Arial" w:hAnsi="Arial" w:cs="Arial"/>
                <w:sz w:val="22"/>
                <w:szCs w:val="22"/>
              </w:rPr>
              <w:lastRenderedPageBreak/>
              <w:t>Services reflect tenant feedback and the tenant voice is incorporated into service design.</w:t>
            </w:r>
          </w:p>
          <w:p w14:paraId="5EEF8D74" w14:textId="77777777" w:rsidR="006A0602" w:rsidRPr="002A30A7" w:rsidRDefault="006A0602" w:rsidP="002A30A7">
            <w:pPr>
              <w:pStyle w:val="ListParagraph"/>
              <w:numPr>
                <w:ilvl w:val="0"/>
                <w:numId w:val="5"/>
              </w:numPr>
              <w:rPr>
                <w:rFonts w:ascii="Arial" w:hAnsi="Arial" w:cs="Arial"/>
                <w:sz w:val="22"/>
                <w:szCs w:val="22"/>
              </w:rPr>
            </w:pPr>
            <w:r w:rsidRPr="002A30A7">
              <w:rPr>
                <w:rFonts w:ascii="Arial" w:hAnsi="Arial" w:cs="Arial"/>
                <w:sz w:val="22"/>
                <w:szCs w:val="22"/>
              </w:rPr>
              <w:t>Positive stakeholder relationships are maintained.</w:t>
            </w:r>
          </w:p>
        </w:tc>
      </w:tr>
      <w:tr w:rsidR="006A0602" w:rsidRPr="002A30A7" w14:paraId="1AF5D938" w14:textId="77777777" w:rsidTr="002A30A7">
        <w:trPr>
          <w:trHeight w:val="300"/>
        </w:trPr>
        <w:tc>
          <w:tcPr>
            <w:tcW w:w="5529" w:type="dxa"/>
          </w:tcPr>
          <w:p w14:paraId="0AF62929" w14:textId="77777777" w:rsidR="006A0602" w:rsidRPr="002A30A7" w:rsidRDefault="006A0602" w:rsidP="002A30A7">
            <w:pPr>
              <w:rPr>
                <w:rFonts w:ascii="Arial" w:hAnsi="Arial" w:cs="Arial"/>
                <w:b/>
                <w:bCs/>
                <w:sz w:val="22"/>
                <w:szCs w:val="22"/>
              </w:rPr>
            </w:pPr>
            <w:r w:rsidRPr="002A30A7">
              <w:rPr>
                <w:rFonts w:ascii="Arial" w:hAnsi="Arial" w:cs="Arial"/>
                <w:b/>
                <w:bCs/>
                <w:sz w:val="22"/>
                <w:szCs w:val="22"/>
              </w:rPr>
              <w:lastRenderedPageBreak/>
              <w:t>Service Delivery</w:t>
            </w:r>
          </w:p>
          <w:p w14:paraId="2095BAC0"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Develop and lead an effective and efficient multi-disciplinary Customer Resolution Centre offering a best-in-class service committed to resolving issues at the first point of contact. This includes a central administration function to support all GLH directorates.</w:t>
            </w:r>
          </w:p>
          <w:p w14:paraId="2B2A1BB6"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Lead, implement, and deliver the customer experience strategy to embed and achieve high levels of performance against a suite of customer strategies covering tenant and customer contact, tenant and customer satisfaction and tenant and customer engagement. Seek to improve the customer experience through the identification and resolution of pain points and opportunities across the entire tenant and customer journey.</w:t>
            </w:r>
          </w:p>
          <w:p w14:paraId="0975E54B"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Deliver a “one team” approach to service delivery ensuring the individual needs of tenants and customers is met consistently with Tenant Experience being the first point of contact for our tenants and customers and that the team work in collaboration with all business functions, consistently delivering great end-to-end tenant experience across all stages, channels, and touchpoints in the tenant journey.</w:t>
            </w:r>
          </w:p>
          <w:p w14:paraId="0AEA2F5D"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 xml:space="preserve">Lead, embed and continuously improve the operational performance by monitoring performance against KPIs and insight to inform decision making and add value to drive improvements in terms of efficiency, cost, quality, and productivity. </w:t>
            </w:r>
          </w:p>
          <w:p w14:paraId="5527B057"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Ensure compliance the Housing Ombudsman’s Complaint Handling Code and implement root cause analysis mechanisms that translate the learnings from complaints into robust actions in order to reduce recurring themes.</w:t>
            </w:r>
          </w:p>
          <w:p w14:paraId="6EA4E43A"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Ensure that an effective customer engagement framework is in place and establish and maintain our tenant groups, so that tenants and customers can scrutinise our performance and influence the design and delivery of services.</w:t>
            </w:r>
          </w:p>
          <w:p w14:paraId="46D4711E"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lastRenderedPageBreak/>
              <w:t>Ensure that the tenant and customer voice is heard at all levels of GLH, and our tenants have meaningful involvement at every level of the organisation building opportunities and links for tenants to be engaged with the board and the governance of GLH.</w:t>
            </w:r>
          </w:p>
          <w:p w14:paraId="5F04630A"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Develop and manage GLH’s approach to ensuring compliance with the regulator’s consumer standards and ensure that we are up to date with excellent service innovations within and outside the housing sector.</w:t>
            </w:r>
          </w:p>
          <w:p w14:paraId="465859FD"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Lead and embed the Tenant Involvement Strategy ensuring organisational and statutory obligation are maintained and improved and to provide a range of formal and informal opportunities for tenants to engage.</w:t>
            </w:r>
          </w:p>
          <w:p w14:paraId="46811334"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Lead GLH’s approach to front-end tenant and customer centred technology to adapt and modernise the tenant and customer experience.</w:t>
            </w:r>
          </w:p>
          <w:p w14:paraId="60CA98FE"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Take accountability for the day to day running of the GLH head office.</w:t>
            </w:r>
          </w:p>
          <w:p w14:paraId="575C1FB7"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Provide information about our tenant involvement work in a timely manner that is accessible and caters to all needs that will increase the number of tenants involved and develop the capacity of tenants to be involved in campaigns, events and provide opportunities for them to do so.</w:t>
            </w:r>
          </w:p>
          <w:p w14:paraId="04398859"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Ensure compliance with organisational requirements for data protection, risk management, safeguarding, health &amp; safety and other legal and statutory requirements.</w:t>
            </w:r>
          </w:p>
          <w:p w14:paraId="2E308225"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Develop the customer service offer and service standards for tenants.</w:t>
            </w:r>
          </w:p>
          <w:p w14:paraId="15FD87AE" w14:textId="77777777" w:rsidR="006A0602" w:rsidRPr="002A30A7" w:rsidRDefault="006A0602" w:rsidP="002A30A7">
            <w:pPr>
              <w:pStyle w:val="NoSpacing"/>
              <w:numPr>
                <w:ilvl w:val="0"/>
                <w:numId w:val="6"/>
              </w:numPr>
              <w:rPr>
                <w:rFonts w:ascii="Arial" w:hAnsi="Arial" w:cs="Arial"/>
                <w:lang w:eastAsia="en-GB"/>
              </w:rPr>
            </w:pPr>
            <w:r w:rsidRPr="002A30A7">
              <w:rPr>
                <w:rFonts w:ascii="Arial" w:hAnsi="Arial" w:cs="Arial"/>
                <w:lang w:eastAsia="en-GB"/>
              </w:rPr>
              <w:t>Managing the development and implementation of service improvements and initiatives to deliver innovative services that empower tenants. </w:t>
            </w:r>
          </w:p>
          <w:p w14:paraId="3A4AE791"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 xml:space="preserve">Ensure effective systems are implemented and maintained to capture, manage and report relevant performance data accurately internally and to tenants and stakeholders. </w:t>
            </w:r>
          </w:p>
        </w:tc>
        <w:tc>
          <w:tcPr>
            <w:tcW w:w="4678" w:type="dxa"/>
          </w:tcPr>
          <w:p w14:paraId="66A278D8" w14:textId="77777777" w:rsidR="006A0602" w:rsidRPr="002A30A7" w:rsidRDefault="006A0602" w:rsidP="002A30A7">
            <w:pPr>
              <w:rPr>
                <w:rFonts w:ascii="Arial" w:hAnsi="Arial" w:cs="Arial"/>
                <w:sz w:val="22"/>
                <w:szCs w:val="22"/>
              </w:rPr>
            </w:pPr>
          </w:p>
          <w:p w14:paraId="0202E824"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KPI’s are achieved for complaints and tenant satisfaction</w:t>
            </w:r>
          </w:p>
          <w:p w14:paraId="44904F3F"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Assurance is provided against service standards.</w:t>
            </w:r>
          </w:p>
          <w:p w14:paraId="6F3CF722"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Accurate tenant data metrics and vulnerabilities are maintained.</w:t>
            </w:r>
          </w:p>
          <w:p w14:paraId="10E1BCA1"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Maintaining positive relationships with key stakeholders and legal third parties</w:t>
            </w:r>
          </w:p>
          <w:p w14:paraId="3F0E27E8" w14:textId="77777777" w:rsidR="006A0602" w:rsidRPr="002A30A7" w:rsidRDefault="006A0602" w:rsidP="002A30A7">
            <w:pPr>
              <w:pStyle w:val="ListParagraph"/>
              <w:numPr>
                <w:ilvl w:val="0"/>
                <w:numId w:val="6"/>
              </w:numPr>
              <w:rPr>
                <w:rFonts w:ascii="Arial" w:hAnsi="Arial" w:cs="Arial"/>
                <w:sz w:val="22"/>
                <w:szCs w:val="22"/>
              </w:rPr>
            </w:pPr>
            <w:r w:rsidRPr="002A30A7">
              <w:rPr>
                <w:rFonts w:ascii="Arial" w:hAnsi="Arial" w:cs="Arial"/>
                <w:sz w:val="22"/>
                <w:szCs w:val="22"/>
              </w:rPr>
              <w:t>The tenant voice is embedded across all service design.</w:t>
            </w:r>
          </w:p>
          <w:p w14:paraId="1D1DCAB2" w14:textId="77777777" w:rsidR="006A0602" w:rsidRPr="002A30A7" w:rsidRDefault="006A0602" w:rsidP="002A30A7">
            <w:pPr>
              <w:ind w:left="360"/>
              <w:rPr>
                <w:rFonts w:ascii="Arial" w:hAnsi="Arial" w:cs="Arial"/>
                <w:sz w:val="22"/>
                <w:szCs w:val="22"/>
              </w:rPr>
            </w:pPr>
          </w:p>
        </w:tc>
      </w:tr>
    </w:tbl>
    <w:p w14:paraId="649B08EA" w14:textId="77777777" w:rsidR="006A0602" w:rsidRPr="002A30A7" w:rsidRDefault="006A0602" w:rsidP="002A30A7">
      <w:pPr>
        <w:spacing w:line="240" w:lineRule="auto"/>
        <w:rPr>
          <w:rFonts w:ascii="Arial" w:hAnsi="Arial" w:cs="Arial"/>
          <w:sz w:val="22"/>
          <w:szCs w:val="22"/>
        </w:rPr>
      </w:pPr>
    </w:p>
    <w:p w14:paraId="2DCB4179" w14:textId="77777777" w:rsidR="003A57B9" w:rsidRPr="002A30A7" w:rsidRDefault="003A57B9" w:rsidP="002A30A7">
      <w:pPr>
        <w:spacing w:line="240" w:lineRule="auto"/>
        <w:rPr>
          <w:rFonts w:ascii="Arial" w:hAnsi="Arial" w:cs="Arial"/>
          <w:b/>
          <w:bCs/>
          <w:sz w:val="22"/>
          <w:szCs w:val="22"/>
        </w:rPr>
      </w:pPr>
      <w:r w:rsidRPr="002A30A7">
        <w:rPr>
          <w:rFonts w:ascii="Arial" w:hAnsi="Arial" w:cs="Arial"/>
          <w:b/>
          <w:bCs/>
          <w:sz w:val="22"/>
          <w:szCs w:val="22"/>
        </w:rPr>
        <w:t>Personal Specification</w:t>
      </w:r>
    </w:p>
    <w:p w14:paraId="699B7906" w14:textId="77777777" w:rsidR="003A57B9" w:rsidRPr="002A30A7" w:rsidRDefault="003A57B9" w:rsidP="002A30A7">
      <w:pPr>
        <w:spacing w:line="240" w:lineRule="auto"/>
        <w:rPr>
          <w:rFonts w:ascii="Arial" w:hAnsi="Arial" w:cs="Arial"/>
          <w:b/>
          <w:bCs/>
          <w:sz w:val="22"/>
          <w:szCs w:val="22"/>
        </w:rPr>
      </w:pPr>
      <w:r w:rsidRPr="002A30A7">
        <w:rPr>
          <w:rFonts w:ascii="Arial" w:hAnsi="Arial" w:cs="Arial"/>
          <w:b/>
          <w:bCs/>
          <w:sz w:val="22"/>
          <w:szCs w:val="22"/>
        </w:rPr>
        <w:t xml:space="preserve">Essential </w:t>
      </w:r>
    </w:p>
    <w:p w14:paraId="0C7ED29E" w14:textId="12828F1C"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t>Educated to NVQ Level 4 or above or willingness to achieve</w:t>
      </w:r>
    </w:p>
    <w:p w14:paraId="7862BF67" w14:textId="10EBB801"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t>Experience of leading coaching high performing teams delivering exceptional levels of performance in a dynamic environment</w:t>
      </w:r>
    </w:p>
    <w:p w14:paraId="7F55C19C" w14:textId="6F4CB306"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t>Knowledge and understanding of strategy, complaints, regulatory frameworks, and customer experience practices communications</w:t>
      </w:r>
    </w:p>
    <w:p w14:paraId="17F16CCB" w14:textId="0EF0C2D5"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lastRenderedPageBreak/>
        <w:t>Experience of developing a quality driven learning and continuous improvement environment</w:t>
      </w:r>
    </w:p>
    <w:p w14:paraId="23E7699C" w14:textId="5407C4FC"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t>In depth experience of supporting tenants or customers to overcome a range of sensitive, challenging, and complex scenarios</w:t>
      </w:r>
    </w:p>
    <w:p w14:paraId="7FCB528B" w14:textId="748AB2C0"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t>Desire to continually develop and seek opportunities for personal development and growth.</w:t>
      </w:r>
    </w:p>
    <w:p w14:paraId="362AACA3" w14:textId="6005BFBB"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t xml:space="preserve">Exceptional organisational and problem solving skills </w:t>
      </w:r>
    </w:p>
    <w:p w14:paraId="1E2DB2B9" w14:textId="32076509"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t>Evidence of strong management, planning, project management and organisational skills</w:t>
      </w:r>
    </w:p>
    <w:p w14:paraId="5A2E1DF3" w14:textId="2316B8C0"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t>Excellent communication, both written and verbal, influencing and negotiation skills, with the ability to produce high-level reports for various audiences.</w:t>
      </w:r>
    </w:p>
    <w:p w14:paraId="363FDCB4" w14:textId="0F40FADE"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t>Experience of effectively setting and managing budgets and resources with a focus on value for money/return on investment</w:t>
      </w:r>
    </w:p>
    <w:p w14:paraId="4B02AEAC" w14:textId="3572E4AA"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t xml:space="preserve">Experience to develop and deliver operational plans that deliver corporate objectives </w:t>
      </w:r>
    </w:p>
    <w:p w14:paraId="40F3C8B0" w14:textId="6F833D28"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t xml:space="preserve">Experience of managing complex projects and initiatives. </w:t>
      </w:r>
    </w:p>
    <w:p w14:paraId="6366D75C" w14:textId="4DF091B7" w:rsidR="003A57B9" w:rsidRPr="002A30A7" w:rsidRDefault="003A57B9" w:rsidP="002A30A7">
      <w:pPr>
        <w:pStyle w:val="ListParagraph"/>
        <w:numPr>
          <w:ilvl w:val="0"/>
          <w:numId w:val="9"/>
        </w:numPr>
        <w:spacing w:after="0" w:line="240" w:lineRule="auto"/>
        <w:rPr>
          <w:rFonts w:ascii="Arial" w:hAnsi="Arial" w:cs="Arial"/>
          <w:sz w:val="22"/>
          <w:szCs w:val="22"/>
        </w:rPr>
      </w:pPr>
      <w:r w:rsidRPr="002A30A7">
        <w:rPr>
          <w:rFonts w:ascii="Arial" w:hAnsi="Arial" w:cs="Arial"/>
          <w:sz w:val="22"/>
          <w:szCs w:val="22"/>
        </w:rPr>
        <w:t xml:space="preserve">Experience of leading and delivering change within an organisation. </w:t>
      </w:r>
    </w:p>
    <w:p w14:paraId="7B60D2F0" w14:textId="64C2CC25" w:rsidR="003A57B9" w:rsidRPr="002A30A7" w:rsidRDefault="003A57B9" w:rsidP="002A30A7">
      <w:pPr>
        <w:pStyle w:val="ListParagraph"/>
        <w:numPr>
          <w:ilvl w:val="0"/>
          <w:numId w:val="9"/>
        </w:numPr>
        <w:spacing w:line="240" w:lineRule="auto"/>
        <w:rPr>
          <w:rFonts w:ascii="Arial" w:hAnsi="Arial" w:cs="Arial"/>
          <w:sz w:val="22"/>
          <w:szCs w:val="22"/>
        </w:rPr>
      </w:pPr>
      <w:r w:rsidRPr="002A30A7">
        <w:rPr>
          <w:rFonts w:ascii="Arial" w:hAnsi="Arial" w:cs="Arial"/>
          <w:sz w:val="22"/>
          <w:szCs w:val="22"/>
        </w:rPr>
        <w:t xml:space="preserve">Able to analyse and use complex data and deliver information to a range of audiences </w:t>
      </w:r>
    </w:p>
    <w:p w14:paraId="4C893E51" w14:textId="77777777" w:rsidR="003A57B9" w:rsidRPr="002A30A7" w:rsidRDefault="003A57B9" w:rsidP="002A30A7">
      <w:pPr>
        <w:spacing w:line="240" w:lineRule="auto"/>
        <w:rPr>
          <w:rFonts w:ascii="Arial" w:hAnsi="Arial" w:cs="Arial"/>
          <w:b/>
          <w:bCs/>
          <w:sz w:val="22"/>
          <w:szCs w:val="22"/>
        </w:rPr>
      </w:pPr>
      <w:r w:rsidRPr="002A30A7">
        <w:rPr>
          <w:rFonts w:ascii="Arial" w:hAnsi="Arial" w:cs="Arial"/>
          <w:b/>
          <w:bCs/>
          <w:sz w:val="22"/>
          <w:szCs w:val="22"/>
        </w:rPr>
        <w:t>Desirable</w:t>
      </w:r>
    </w:p>
    <w:p w14:paraId="48289074" w14:textId="4758D1B8" w:rsidR="003A57B9" w:rsidRPr="002A30A7" w:rsidRDefault="003A57B9" w:rsidP="002A30A7">
      <w:pPr>
        <w:pStyle w:val="ListParagraph"/>
        <w:numPr>
          <w:ilvl w:val="0"/>
          <w:numId w:val="10"/>
        </w:numPr>
        <w:spacing w:after="0" w:line="240" w:lineRule="auto"/>
        <w:rPr>
          <w:rFonts w:ascii="Arial" w:hAnsi="Arial" w:cs="Arial"/>
          <w:sz w:val="22"/>
          <w:szCs w:val="22"/>
        </w:rPr>
      </w:pPr>
      <w:r w:rsidRPr="002A30A7">
        <w:rPr>
          <w:rFonts w:ascii="Arial" w:hAnsi="Arial" w:cs="Arial"/>
          <w:sz w:val="22"/>
          <w:szCs w:val="22"/>
        </w:rPr>
        <w:t>Experience of engaging people with a learning disability and autism</w:t>
      </w:r>
    </w:p>
    <w:p w14:paraId="573A829D" w14:textId="7D3B1383" w:rsidR="003A57B9" w:rsidRPr="002A30A7" w:rsidRDefault="003A57B9" w:rsidP="002A30A7">
      <w:pPr>
        <w:pStyle w:val="ListParagraph"/>
        <w:numPr>
          <w:ilvl w:val="0"/>
          <w:numId w:val="10"/>
        </w:numPr>
        <w:spacing w:after="0" w:line="240" w:lineRule="auto"/>
        <w:rPr>
          <w:rFonts w:ascii="Arial" w:hAnsi="Arial" w:cs="Arial"/>
          <w:sz w:val="22"/>
          <w:szCs w:val="22"/>
        </w:rPr>
      </w:pPr>
      <w:r w:rsidRPr="002A30A7">
        <w:rPr>
          <w:rFonts w:ascii="Arial" w:hAnsi="Arial" w:cs="Arial"/>
          <w:sz w:val="22"/>
          <w:szCs w:val="22"/>
        </w:rPr>
        <w:t>Good understanding of social housing sector and associated regulations</w:t>
      </w:r>
    </w:p>
    <w:p w14:paraId="330013A0" w14:textId="6B4C05CE" w:rsidR="004C4AFA" w:rsidRPr="002A30A7" w:rsidRDefault="003A57B9" w:rsidP="002A30A7">
      <w:pPr>
        <w:pStyle w:val="ListParagraph"/>
        <w:numPr>
          <w:ilvl w:val="0"/>
          <w:numId w:val="10"/>
        </w:numPr>
        <w:spacing w:after="0" w:line="240" w:lineRule="auto"/>
        <w:rPr>
          <w:rFonts w:ascii="Arial" w:hAnsi="Arial" w:cs="Arial"/>
          <w:sz w:val="22"/>
          <w:szCs w:val="22"/>
        </w:rPr>
      </w:pPr>
      <w:r w:rsidRPr="002A30A7">
        <w:rPr>
          <w:rFonts w:ascii="Arial" w:hAnsi="Arial" w:cs="Arial"/>
          <w:sz w:val="22"/>
          <w:szCs w:val="22"/>
        </w:rPr>
        <w:t>Experience in a management role ideally within a contact centre and/or regulated environment.</w:t>
      </w:r>
    </w:p>
    <w:p w14:paraId="3959BFA2" w14:textId="77777777" w:rsidR="00AF082C" w:rsidRPr="002A30A7" w:rsidRDefault="00AF082C" w:rsidP="002A30A7">
      <w:pPr>
        <w:spacing w:line="240" w:lineRule="auto"/>
        <w:rPr>
          <w:rFonts w:ascii="Arial" w:hAnsi="Arial" w:cs="Arial"/>
          <w:sz w:val="22"/>
          <w:szCs w:val="22"/>
        </w:rPr>
      </w:pPr>
    </w:p>
    <w:sectPr w:rsidR="00AF082C" w:rsidRPr="002A3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C1876"/>
    <w:multiLevelType w:val="hybridMultilevel"/>
    <w:tmpl w:val="0A0E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2220BC"/>
    <w:multiLevelType w:val="hybridMultilevel"/>
    <w:tmpl w:val="BCA4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2693C"/>
    <w:multiLevelType w:val="hybridMultilevel"/>
    <w:tmpl w:val="CE64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D2B60"/>
    <w:multiLevelType w:val="hybridMultilevel"/>
    <w:tmpl w:val="0A3A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6E41A1"/>
    <w:multiLevelType w:val="hybridMultilevel"/>
    <w:tmpl w:val="DB2C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094457"/>
    <w:multiLevelType w:val="hybridMultilevel"/>
    <w:tmpl w:val="2852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24066"/>
    <w:multiLevelType w:val="hybridMultilevel"/>
    <w:tmpl w:val="FBE8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D46C2"/>
    <w:multiLevelType w:val="hybridMultilevel"/>
    <w:tmpl w:val="71C8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14562C"/>
    <w:multiLevelType w:val="hybridMultilevel"/>
    <w:tmpl w:val="2AAE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C685A"/>
    <w:multiLevelType w:val="hybridMultilevel"/>
    <w:tmpl w:val="0690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085784">
    <w:abstractNumId w:val="3"/>
  </w:num>
  <w:num w:numId="2" w16cid:durableId="2103405248">
    <w:abstractNumId w:val="0"/>
  </w:num>
  <w:num w:numId="3" w16cid:durableId="974411218">
    <w:abstractNumId w:val="6"/>
  </w:num>
  <w:num w:numId="4" w16cid:durableId="443422789">
    <w:abstractNumId w:val="4"/>
  </w:num>
  <w:num w:numId="5" w16cid:durableId="1585526171">
    <w:abstractNumId w:val="1"/>
  </w:num>
  <w:num w:numId="6" w16cid:durableId="1267496286">
    <w:abstractNumId w:val="5"/>
  </w:num>
  <w:num w:numId="7" w16cid:durableId="640816125">
    <w:abstractNumId w:val="9"/>
  </w:num>
  <w:num w:numId="8" w16cid:durableId="1541161059">
    <w:abstractNumId w:val="2"/>
  </w:num>
  <w:num w:numId="9" w16cid:durableId="473639804">
    <w:abstractNumId w:val="8"/>
  </w:num>
  <w:num w:numId="10" w16cid:durableId="2091347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FA"/>
    <w:rsid w:val="00074E1D"/>
    <w:rsid w:val="000A6189"/>
    <w:rsid w:val="000D5576"/>
    <w:rsid w:val="00221E29"/>
    <w:rsid w:val="002A30A7"/>
    <w:rsid w:val="00361991"/>
    <w:rsid w:val="003847BA"/>
    <w:rsid w:val="003A57B9"/>
    <w:rsid w:val="0042291F"/>
    <w:rsid w:val="004474D1"/>
    <w:rsid w:val="004C4471"/>
    <w:rsid w:val="004C4AFA"/>
    <w:rsid w:val="00513847"/>
    <w:rsid w:val="0054470B"/>
    <w:rsid w:val="005D3ABF"/>
    <w:rsid w:val="006209F7"/>
    <w:rsid w:val="006A0602"/>
    <w:rsid w:val="006A6D29"/>
    <w:rsid w:val="007136C3"/>
    <w:rsid w:val="00795BF0"/>
    <w:rsid w:val="008177BC"/>
    <w:rsid w:val="00850ECE"/>
    <w:rsid w:val="00932444"/>
    <w:rsid w:val="00961F11"/>
    <w:rsid w:val="00974041"/>
    <w:rsid w:val="00A45FC1"/>
    <w:rsid w:val="00A75DFF"/>
    <w:rsid w:val="00AF082C"/>
    <w:rsid w:val="00C57174"/>
    <w:rsid w:val="00C6286B"/>
    <w:rsid w:val="00CF5254"/>
    <w:rsid w:val="00D055F0"/>
    <w:rsid w:val="00D059D5"/>
    <w:rsid w:val="00D50462"/>
    <w:rsid w:val="00DB4665"/>
    <w:rsid w:val="00DC297B"/>
    <w:rsid w:val="00EB5E66"/>
    <w:rsid w:val="00ED37B2"/>
    <w:rsid w:val="00F137EF"/>
    <w:rsid w:val="00F56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7E41"/>
  <w15:chartTrackingRefBased/>
  <w15:docId w15:val="{2376A876-18E1-4AEF-B251-992A8FB8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AFA"/>
    <w:rPr>
      <w:rFonts w:eastAsiaTheme="majorEastAsia" w:cstheme="majorBidi"/>
      <w:color w:val="272727" w:themeColor="text1" w:themeTint="D8"/>
    </w:rPr>
  </w:style>
  <w:style w:type="paragraph" w:styleId="Title">
    <w:name w:val="Title"/>
    <w:basedOn w:val="Normal"/>
    <w:next w:val="Normal"/>
    <w:link w:val="TitleChar"/>
    <w:uiPriority w:val="10"/>
    <w:qFormat/>
    <w:rsid w:val="004C4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AFA"/>
    <w:pPr>
      <w:spacing w:before="160"/>
      <w:jc w:val="center"/>
    </w:pPr>
    <w:rPr>
      <w:i/>
      <w:iCs/>
      <w:color w:val="404040" w:themeColor="text1" w:themeTint="BF"/>
    </w:rPr>
  </w:style>
  <w:style w:type="character" w:customStyle="1" w:styleId="QuoteChar">
    <w:name w:val="Quote Char"/>
    <w:basedOn w:val="DefaultParagraphFont"/>
    <w:link w:val="Quote"/>
    <w:uiPriority w:val="29"/>
    <w:rsid w:val="004C4AFA"/>
    <w:rPr>
      <w:i/>
      <w:iCs/>
      <w:color w:val="404040" w:themeColor="text1" w:themeTint="BF"/>
    </w:rPr>
  </w:style>
  <w:style w:type="paragraph" w:styleId="ListParagraph">
    <w:name w:val="List Paragraph"/>
    <w:basedOn w:val="Normal"/>
    <w:uiPriority w:val="34"/>
    <w:qFormat/>
    <w:rsid w:val="004C4AFA"/>
    <w:pPr>
      <w:ind w:left="720"/>
      <w:contextualSpacing/>
    </w:pPr>
  </w:style>
  <w:style w:type="character" w:styleId="IntenseEmphasis">
    <w:name w:val="Intense Emphasis"/>
    <w:basedOn w:val="DefaultParagraphFont"/>
    <w:uiPriority w:val="21"/>
    <w:qFormat/>
    <w:rsid w:val="004C4AFA"/>
    <w:rPr>
      <w:i/>
      <w:iCs/>
      <w:color w:val="0F4761" w:themeColor="accent1" w:themeShade="BF"/>
    </w:rPr>
  </w:style>
  <w:style w:type="paragraph" w:styleId="IntenseQuote">
    <w:name w:val="Intense Quote"/>
    <w:basedOn w:val="Normal"/>
    <w:next w:val="Normal"/>
    <w:link w:val="IntenseQuoteChar"/>
    <w:uiPriority w:val="30"/>
    <w:qFormat/>
    <w:rsid w:val="004C4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AFA"/>
    <w:rPr>
      <w:i/>
      <w:iCs/>
      <w:color w:val="0F4761" w:themeColor="accent1" w:themeShade="BF"/>
    </w:rPr>
  </w:style>
  <w:style w:type="character" w:styleId="IntenseReference">
    <w:name w:val="Intense Reference"/>
    <w:basedOn w:val="DefaultParagraphFont"/>
    <w:uiPriority w:val="32"/>
    <w:qFormat/>
    <w:rsid w:val="004C4AFA"/>
    <w:rPr>
      <w:b/>
      <w:bCs/>
      <w:smallCaps/>
      <w:color w:val="0F4761" w:themeColor="accent1" w:themeShade="BF"/>
      <w:spacing w:val="5"/>
    </w:rPr>
  </w:style>
  <w:style w:type="table" w:styleId="TableGrid">
    <w:name w:val="Table Grid"/>
    <w:basedOn w:val="TableNormal"/>
    <w:uiPriority w:val="39"/>
    <w:rsid w:val="004C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5DF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18CA450D34447A076F149ABF833E7" ma:contentTypeVersion="18" ma:contentTypeDescription="Create a new document." ma:contentTypeScope="" ma:versionID="55e2b7495bbcce3785cd2b27d04791e1">
  <xsd:schema xmlns:xsd="http://www.w3.org/2001/XMLSchema" xmlns:xs="http://www.w3.org/2001/XMLSchema" xmlns:p="http://schemas.microsoft.com/office/2006/metadata/properties" xmlns:ns2="03308186-ce06-4c0a-8ab3-52d8bc83f8c1" xmlns:ns3="a15d815b-4f3c-4f8f-9dfb-57a0a391956a" targetNamespace="http://schemas.microsoft.com/office/2006/metadata/properties" ma:root="true" ma:fieldsID="a7fbac32fd634923adfeb4897adca754" ns2:_="" ns3:_="">
    <xsd:import namespace="03308186-ce06-4c0a-8ab3-52d8bc83f8c1"/>
    <xsd:import namespace="a15d815b-4f3c-4f8f-9dfb-57a0a39195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8186-ce06-4c0a-8ab3-52d8bc83f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eb0559-4f2a-4d84-a09b-9f9d82a05c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815b-4f3c-4f8f-9dfb-57a0a3919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5eef81-ddb4-4f3d-9418-827d07af7041}" ma:internalName="TaxCatchAll" ma:showField="CatchAllData" ma:web="a15d815b-4f3c-4f8f-9dfb-57a0a3919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308186-ce06-4c0a-8ab3-52d8bc83f8c1">
      <Terms xmlns="http://schemas.microsoft.com/office/infopath/2007/PartnerControls"/>
    </lcf76f155ced4ddcb4097134ff3c332f>
    <TaxCatchAll xmlns="a15d815b-4f3c-4f8f-9dfb-57a0a391956a" xsi:nil="true"/>
  </documentManagement>
</p:properties>
</file>

<file path=customXml/itemProps1.xml><?xml version="1.0" encoding="utf-8"?>
<ds:datastoreItem xmlns:ds="http://schemas.openxmlformats.org/officeDocument/2006/customXml" ds:itemID="{1E67D4FB-39E7-4364-B863-37F706A49E8F}">
  <ds:schemaRefs>
    <ds:schemaRef ds:uri="http://schemas.microsoft.com/sharepoint/v3/contenttype/forms"/>
  </ds:schemaRefs>
</ds:datastoreItem>
</file>

<file path=customXml/itemProps2.xml><?xml version="1.0" encoding="utf-8"?>
<ds:datastoreItem xmlns:ds="http://schemas.openxmlformats.org/officeDocument/2006/customXml" ds:itemID="{572BBB37-24FD-4A08-BC90-52D33ABAC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08186-ce06-4c0a-8ab3-52d8bc83f8c1"/>
    <ds:schemaRef ds:uri="a15d815b-4f3c-4f8f-9dfb-57a0a3919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D5729-65D6-42DF-9B2E-7D13854142FE}">
  <ds:schemaRefs>
    <ds:schemaRef ds:uri="http://schemas.microsoft.com/office/2006/metadata/properties"/>
    <ds:schemaRef ds:uri="http://schemas.microsoft.com/office/infopath/2007/PartnerControls"/>
    <ds:schemaRef ds:uri="03308186-ce06-4c0a-8ab3-52d8bc83f8c1"/>
    <ds:schemaRef ds:uri="a15d815b-4f3c-4f8f-9dfb-57a0a39195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9291</Characters>
  <Application>Microsoft Office Word</Application>
  <DocSecurity>0</DocSecurity>
  <Lines>283</Lines>
  <Paragraphs>86</Paragraphs>
  <ScaleCrop>false</ScaleCrop>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Lamprey</dc:creator>
  <cp:keywords/>
  <dc:description/>
  <cp:lastModifiedBy>Rachel Maguire</cp:lastModifiedBy>
  <cp:revision>13</cp:revision>
  <dcterms:created xsi:type="dcterms:W3CDTF">2026-02-03T19:14:00Z</dcterms:created>
  <dcterms:modified xsi:type="dcterms:W3CDTF">2026-02-03T19:27:00Z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0x01010066418CA450D34447A076F149ABF833E7</vt:lpwstr>
  </property>
  <property fmtid="{D5CDD505-2E9C-101B-9397-08002B2CF9AE}" pid="3" name="MediaServiceImageTags">
    <vt:lpwstr/>
  </property>
</Properties>
</file>